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EC47CC" w14:paraId="5D06CAEA" w14:textId="77777777">
        <w:tblPrEx>
          <w:tblCellMar>
            <w:top w:w="0" w:type="dxa"/>
            <w:bottom w:w="0" w:type="dxa"/>
          </w:tblCellMar>
        </w:tblPrEx>
        <w:trPr>
          <w:tblCellSpacing w:w="60" w:type="dxa"/>
        </w:trPr>
        <w:tc>
          <w:tcPr>
            <w:tcW w:w="1200" w:type="pct"/>
            <w:shd w:val="clear" w:color="auto" w:fill="E7F0F9"/>
          </w:tcPr>
          <w:p w14:paraId="1673A8E7" w14:textId="77777777" w:rsidR="00EC47CC" w:rsidRDefault="00000000">
            <w:pPr>
              <w:spacing w:after="0" w:line="240" w:lineRule="auto"/>
            </w:pPr>
            <w:r>
              <w:rPr>
                <w:b/>
              </w:rPr>
              <w:t>RKP broj</w:t>
            </w:r>
          </w:p>
        </w:tc>
        <w:tc>
          <w:tcPr>
            <w:tcW w:w="0" w:type="auto"/>
            <w:shd w:val="clear" w:color="auto" w:fill="E7F0F9"/>
          </w:tcPr>
          <w:p w14:paraId="6E23587E" w14:textId="77777777" w:rsidR="00EC47CC" w:rsidRDefault="00000000">
            <w:pPr>
              <w:spacing w:after="0" w:line="240" w:lineRule="auto"/>
            </w:pPr>
            <w:r>
              <w:t>44348</w:t>
            </w:r>
          </w:p>
        </w:tc>
      </w:tr>
      <w:tr w:rsidR="00EC47CC" w14:paraId="284AA883" w14:textId="77777777">
        <w:tblPrEx>
          <w:tblCellMar>
            <w:top w:w="0" w:type="dxa"/>
            <w:bottom w:w="0" w:type="dxa"/>
          </w:tblCellMar>
        </w:tblPrEx>
        <w:trPr>
          <w:tblCellSpacing w:w="60" w:type="dxa"/>
        </w:trPr>
        <w:tc>
          <w:tcPr>
            <w:tcW w:w="1200" w:type="pct"/>
            <w:shd w:val="clear" w:color="auto" w:fill="E7F0F9"/>
          </w:tcPr>
          <w:p w14:paraId="68A357A2" w14:textId="77777777" w:rsidR="00EC47CC" w:rsidRDefault="00000000">
            <w:pPr>
              <w:spacing w:after="0" w:line="240" w:lineRule="auto"/>
            </w:pPr>
            <w:r>
              <w:rPr>
                <w:b/>
              </w:rPr>
              <w:t>Naziv obveznika</w:t>
            </w:r>
          </w:p>
        </w:tc>
        <w:tc>
          <w:tcPr>
            <w:tcW w:w="0" w:type="auto"/>
            <w:shd w:val="clear" w:color="auto" w:fill="E7F0F9"/>
          </w:tcPr>
          <w:p w14:paraId="5D65DFE1" w14:textId="77777777" w:rsidR="00EC47CC" w:rsidRDefault="00000000">
            <w:pPr>
              <w:spacing w:after="0" w:line="240" w:lineRule="auto"/>
            </w:pPr>
            <w:r>
              <w:t>OPĆINSKA KNJIŽNICA KRAPINSKE TOPLICE</w:t>
            </w:r>
          </w:p>
        </w:tc>
      </w:tr>
      <w:tr w:rsidR="00EC47CC" w14:paraId="36FD186D" w14:textId="77777777">
        <w:tblPrEx>
          <w:tblCellMar>
            <w:top w:w="0" w:type="dxa"/>
            <w:bottom w:w="0" w:type="dxa"/>
          </w:tblCellMar>
        </w:tblPrEx>
        <w:trPr>
          <w:tblCellSpacing w:w="60" w:type="dxa"/>
        </w:trPr>
        <w:tc>
          <w:tcPr>
            <w:tcW w:w="1200" w:type="pct"/>
            <w:shd w:val="clear" w:color="auto" w:fill="E7F0F9"/>
          </w:tcPr>
          <w:p w14:paraId="532F6109" w14:textId="77777777" w:rsidR="00EC47CC" w:rsidRDefault="00000000">
            <w:pPr>
              <w:spacing w:after="0" w:line="240" w:lineRule="auto"/>
            </w:pPr>
            <w:r>
              <w:rPr>
                <w:b/>
              </w:rPr>
              <w:t>Razina</w:t>
            </w:r>
          </w:p>
        </w:tc>
        <w:tc>
          <w:tcPr>
            <w:tcW w:w="0" w:type="auto"/>
            <w:shd w:val="clear" w:color="auto" w:fill="E7F0F9"/>
          </w:tcPr>
          <w:p w14:paraId="5BAA7FFE" w14:textId="77777777" w:rsidR="00EC47CC" w:rsidRDefault="00000000">
            <w:pPr>
              <w:spacing w:after="0" w:line="240" w:lineRule="auto"/>
            </w:pPr>
            <w:r>
              <w:t>21</w:t>
            </w:r>
          </w:p>
        </w:tc>
      </w:tr>
    </w:tbl>
    <w:p w14:paraId="269EEFAE" w14:textId="77777777" w:rsidR="00EC47CC" w:rsidRDefault="00000000">
      <w:r>
        <w:br/>
      </w:r>
    </w:p>
    <w:p w14:paraId="3A5DB722" w14:textId="0A23B29C" w:rsidR="00EC47CC" w:rsidRDefault="00000000">
      <w:pPr>
        <w:spacing w:line="240" w:lineRule="auto"/>
        <w:jc w:val="center"/>
      </w:pPr>
      <w:r>
        <w:rPr>
          <w:b/>
          <w:sz w:val="28"/>
        </w:rPr>
        <w:t>BILJEŠKE UZ FINANCIJSKE IZVJEŠTAJE</w:t>
      </w:r>
      <w:r w:rsidR="000E0807">
        <w:rPr>
          <w:b/>
          <w:sz w:val="28"/>
        </w:rPr>
        <w:t xml:space="preserve"> </w:t>
      </w:r>
    </w:p>
    <w:p w14:paraId="384773C9" w14:textId="77777777" w:rsidR="00EC47CC" w:rsidRDefault="00000000">
      <w:pPr>
        <w:spacing w:line="240" w:lineRule="auto"/>
        <w:jc w:val="center"/>
      </w:pPr>
      <w:r>
        <w:rPr>
          <w:b/>
          <w:sz w:val="28"/>
        </w:rPr>
        <w:t>ZA RAZDOBLJE</w:t>
      </w:r>
    </w:p>
    <w:p w14:paraId="2831B718" w14:textId="77777777" w:rsidR="00EC47CC" w:rsidRDefault="00000000">
      <w:pPr>
        <w:spacing w:line="240" w:lineRule="auto"/>
        <w:jc w:val="center"/>
      </w:pPr>
      <w:r>
        <w:rPr>
          <w:b/>
          <w:sz w:val="28"/>
        </w:rPr>
        <w:t>I - XII 2025.</w:t>
      </w:r>
    </w:p>
    <w:p w14:paraId="1649DBBA" w14:textId="77777777" w:rsidR="00EC47CC" w:rsidRDefault="00EC47CC"/>
    <w:p w14:paraId="2A7F3767" w14:textId="78B6E64B" w:rsidR="00EC47CC" w:rsidRDefault="00000000">
      <w:pPr>
        <w:keepNext/>
        <w:spacing w:line="240" w:lineRule="auto"/>
        <w:jc w:val="center"/>
      </w:pPr>
      <w:r>
        <w:rPr>
          <w:b/>
          <w:sz w:val="28"/>
        </w:rPr>
        <w:t>Izvještaj o prihodima i rashodima, primicima i izdacima</w:t>
      </w:r>
      <w:r w:rsidR="000E0807">
        <w:rPr>
          <w:b/>
          <w:sz w:val="28"/>
        </w:rPr>
        <w:t xml:space="preserve"> </w:t>
      </w:r>
    </w:p>
    <w:p w14:paraId="6D7D332C" w14:textId="77777777" w:rsidR="00EC47CC"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47CC" w14:paraId="6DBE7F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210722" w14:textId="77777777" w:rsidR="00EC47C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1B8FC6" w14:textId="77777777" w:rsidR="00EC47C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67727A" w14:textId="77777777" w:rsidR="00EC47C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9F7A1A" w14:textId="77777777" w:rsidR="00EC47C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1C11BC" w14:textId="77777777" w:rsidR="00EC47C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E12E6B" w14:textId="77777777" w:rsidR="00EC47CC" w:rsidRDefault="00000000">
            <w:pPr>
              <w:keepNext/>
              <w:keepLines/>
              <w:spacing w:after="0" w:line="240" w:lineRule="auto"/>
              <w:jc w:val="center"/>
            </w:pPr>
            <w:r>
              <w:rPr>
                <w:b/>
                <w:sz w:val="18"/>
              </w:rPr>
              <w:t>Indeks (%)</w:t>
            </w:r>
          </w:p>
        </w:tc>
      </w:tr>
      <w:tr w:rsidR="00EC47CC" w14:paraId="2DCB786F" w14:textId="77777777">
        <w:tblPrEx>
          <w:tblCellMar>
            <w:top w:w="0" w:type="dxa"/>
            <w:bottom w:w="0" w:type="dxa"/>
          </w:tblCellMar>
        </w:tblPrEx>
        <w:trPr>
          <w:cantSplit/>
          <w:trHeight w:val="560"/>
        </w:trPr>
        <w:tc>
          <w:tcPr>
            <w:tcW w:w="700" w:type="dxa"/>
            <w:tcMar>
              <w:top w:w="0" w:type="dxa"/>
              <w:bottom w:w="0" w:type="dxa"/>
            </w:tcMar>
            <w:vAlign w:val="center"/>
          </w:tcPr>
          <w:p w14:paraId="402F7B3E" w14:textId="77777777" w:rsidR="00EC47CC" w:rsidRDefault="00000000">
            <w:pPr>
              <w:keepNext/>
              <w:keepLines/>
              <w:spacing w:after="0" w:line="240" w:lineRule="auto"/>
            </w:pPr>
            <w:r>
              <w:rPr>
                <w:sz w:val="18"/>
              </w:rPr>
              <w:t>6</w:t>
            </w:r>
          </w:p>
        </w:tc>
        <w:tc>
          <w:tcPr>
            <w:tcW w:w="3180" w:type="dxa"/>
            <w:tcMar>
              <w:top w:w="0" w:type="dxa"/>
              <w:bottom w:w="0" w:type="dxa"/>
            </w:tcMar>
            <w:vAlign w:val="center"/>
          </w:tcPr>
          <w:p w14:paraId="7897D6A8" w14:textId="77777777" w:rsidR="00EC47CC"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7412E2C4" w14:textId="77777777" w:rsidR="00EC47CC" w:rsidRDefault="00000000">
            <w:pPr>
              <w:keepNext/>
              <w:keepLines/>
              <w:spacing w:after="0" w:line="240" w:lineRule="auto"/>
            </w:pPr>
            <w:r>
              <w:rPr>
                <w:sz w:val="18"/>
              </w:rPr>
              <w:t>6</w:t>
            </w:r>
          </w:p>
        </w:tc>
        <w:tc>
          <w:tcPr>
            <w:tcW w:w="1860" w:type="dxa"/>
            <w:tcMar>
              <w:top w:w="0" w:type="dxa"/>
              <w:bottom w:w="0" w:type="dxa"/>
            </w:tcMar>
            <w:vAlign w:val="center"/>
          </w:tcPr>
          <w:p w14:paraId="13925D3C" w14:textId="77777777" w:rsidR="00EC47CC" w:rsidRDefault="00000000">
            <w:pPr>
              <w:keepNext/>
              <w:keepLines/>
              <w:spacing w:after="0" w:line="240" w:lineRule="auto"/>
              <w:jc w:val="right"/>
            </w:pPr>
            <w:r>
              <w:rPr>
                <w:sz w:val="18"/>
              </w:rPr>
              <w:t>91.597,79</w:t>
            </w:r>
          </w:p>
        </w:tc>
        <w:tc>
          <w:tcPr>
            <w:tcW w:w="1860" w:type="dxa"/>
            <w:tcMar>
              <w:top w:w="0" w:type="dxa"/>
              <w:bottom w:w="0" w:type="dxa"/>
            </w:tcMar>
            <w:vAlign w:val="center"/>
          </w:tcPr>
          <w:p w14:paraId="710F8D27" w14:textId="77777777" w:rsidR="00EC47CC" w:rsidRDefault="00000000">
            <w:pPr>
              <w:keepNext/>
              <w:keepLines/>
              <w:spacing w:after="0" w:line="240" w:lineRule="auto"/>
              <w:jc w:val="right"/>
            </w:pPr>
            <w:r>
              <w:rPr>
                <w:sz w:val="18"/>
              </w:rPr>
              <w:t>120.141,91</w:t>
            </w:r>
          </w:p>
        </w:tc>
        <w:tc>
          <w:tcPr>
            <w:tcW w:w="700" w:type="dxa"/>
            <w:tcMar>
              <w:top w:w="0" w:type="dxa"/>
              <w:bottom w:w="0" w:type="dxa"/>
            </w:tcMar>
            <w:vAlign w:val="center"/>
          </w:tcPr>
          <w:p w14:paraId="7CA70082" w14:textId="77777777" w:rsidR="00EC47CC" w:rsidRDefault="00000000">
            <w:pPr>
              <w:keepNext/>
              <w:keepLines/>
              <w:spacing w:after="0" w:line="240" w:lineRule="auto"/>
              <w:jc w:val="right"/>
            </w:pPr>
            <w:r>
              <w:rPr>
                <w:sz w:val="18"/>
              </w:rPr>
              <w:t>131,2</w:t>
            </w:r>
          </w:p>
        </w:tc>
      </w:tr>
      <w:tr w:rsidR="00EC47CC" w14:paraId="0B53759D" w14:textId="77777777">
        <w:tblPrEx>
          <w:tblCellMar>
            <w:top w:w="0" w:type="dxa"/>
            <w:bottom w:w="0" w:type="dxa"/>
          </w:tblCellMar>
        </w:tblPrEx>
        <w:trPr>
          <w:cantSplit/>
          <w:trHeight w:val="560"/>
        </w:trPr>
        <w:tc>
          <w:tcPr>
            <w:tcW w:w="700" w:type="dxa"/>
            <w:tcMar>
              <w:top w:w="0" w:type="dxa"/>
              <w:bottom w:w="0" w:type="dxa"/>
            </w:tcMar>
            <w:vAlign w:val="center"/>
          </w:tcPr>
          <w:p w14:paraId="71D801E1" w14:textId="77777777" w:rsidR="00EC47CC" w:rsidRDefault="00000000">
            <w:pPr>
              <w:keepNext/>
              <w:keepLines/>
              <w:spacing w:after="0" w:line="240" w:lineRule="auto"/>
            </w:pPr>
            <w:r>
              <w:rPr>
                <w:sz w:val="18"/>
              </w:rPr>
              <w:t>3</w:t>
            </w:r>
          </w:p>
        </w:tc>
        <w:tc>
          <w:tcPr>
            <w:tcW w:w="3180" w:type="dxa"/>
            <w:tcMar>
              <w:top w:w="0" w:type="dxa"/>
              <w:bottom w:w="0" w:type="dxa"/>
            </w:tcMar>
            <w:vAlign w:val="center"/>
          </w:tcPr>
          <w:p w14:paraId="06CD007D" w14:textId="77777777" w:rsidR="00EC47CC"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019876AF" w14:textId="77777777" w:rsidR="00EC47CC" w:rsidRDefault="00000000">
            <w:pPr>
              <w:keepNext/>
              <w:keepLines/>
              <w:spacing w:after="0" w:line="240" w:lineRule="auto"/>
            </w:pPr>
            <w:r>
              <w:rPr>
                <w:sz w:val="18"/>
              </w:rPr>
              <w:t>3</w:t>
            </w:r>
          </w:p>
        </w:tc>
        <w:tc>
          <w:tcPr>
            <w:tcW w:w="1860" w:type="dxa"/>
            <w:tcMar>
              <w:top w:w="0" w:type="dxa"/>
              <w:bottom w:w="0" w:type="dxa"/>
            </w:tcMar>
            <w:vAlign w:val="center"/>
          </w:tcPr>
          <w:p w14:paraId="510DBEB0" w14:textId="77777777" w:rsidR="00EC47CC" w:rsidRDefault="00000000">
            <w:pPr>
              <w:keepNext/>
              <w:keepLines/>
              <w:spacing w:after="0" w:line="240" w:lineRule="auto"/>
              <w:jc w:val="right"/>
            </w:pPr>
            <w:r>
              <w:rPr>
                <w:sz w:val="18"/>
              </w:rPr>
              <w:t>71.340,13</w:t>
            </w:r>
          </w:p>
        </w:tc>
        <w:tc>
          <w:tcPr>
            <w:tcW w:w="1860" w:type="dxa"/>
            <w:tcMar>
              <w:top w:w="0" w:type="dxa"/>
              <w:bottom w:w="0" w:type="dxa"/>
            </w:tcMar>
            <w:vAlign w:val="center"/>
          </w:tcPr>
          <w:p w14:paraId="175938BD" w14:textId="77777777" w:rsidR="00EC47CC" w:rsidRDefault="00000000">
            <w:pPr>
              <w:keepNext/>
              <w:keepLines/>
              <w:spacing w:after="0" w:line="240" w:lineRule="auto"/>
              <w:jc w:val="right"/>
            </w:pPr>
            <w:r>
              <w:rPr>
                <w:sz w:val="18"/>
              </w:rPr>
              <w:t>98.881,70</w:t>
            </w:r>
          </w:p>
        </w:tc>
        <w:tc>
          <w:tcPr>
            <w:tcW w:w="700" w:type="dxa"/>
            <w:tcMar>
              <w:top w:w="0" w:type="dxa"/>
              <w:bottom w:w="0" w:type="dxa"/>
            </w:tcMar>
            <w:vAlign w:val="center"/>
          </w:tcPr>
          <w:p w14:paraId="54E25E96" w14:textId="77777777" w:rsidR="00EC47CC" w:rsidRDefault="00000000">
            <w:pPr>
              <w:keepNext/>
              <w:keepLines/>
              <w:spacing w:after="0" w:line="240" w:lineRule="auto"/>
              <w:jc w:val="right"/>
            </w:pPr>
            <w:r>
              <w:rPr>
                <w:sz w:val="18"/>
              </w:rPr>
              <w:t>138,6</w:t>
            </w:r>
          </w:p>
        </w:tc>
      </w:tr>
      <w:tr w:rsidR="00EC47CC" w14:paraId="592DE339" w14:textId="77777777">
        <w:tblPrEx>
          <w:tblCellMar>
            <w:top w:w="0" w:type="dxa"/>
            <w:bottom w:w="0" w:type="dxa"/>
          </w:tblCellMar>
        </w:tblPrEx>
        <w:trPr>
          <w:cantSplit/>
          <w:trHeight w:val="560"/>
        </w:trPr>
        <w:tc>
          <w:tcPr>
            <w:tcW w:w="700" w:type="dxa"/>
            <w:tcMar>
              <w:top w:w="0" w:type="dxa"/>
              <w:bottom w:w="0" w:type="dxa"/>
            </w:tcMar>
            <w:vAlign w:val="center"/>
          </w:tcPr>
          <w:p w14:paraId="1BD3C8B3" w14:textId="77777777" w:rsidR="00EC47CC" w:rsidRDefault="00EC47CC">
            <w:pPr>
              <w:keepNext/>
              <w:keepLines/>
              <w:spacing w:after="0" w:line="240" w:lineRule="auto"/>
            </w:pPr>
          </w:p>
        </w:tc>
        <w:tc>
          <w:tcPr>
            <w:tcW w:w="3180" w:type="dxa"/>
            <w:tcMar>
              <w:top w:w="0" w:type="dxa"/>
              <w:bottom w:w="0" w:type="dxa"/>
            </w:tcMar>
            <w:vAlign w:val="center"/>
          </w:tcPr>
          <w:p w14:paraId="26C74B81" w14:textId="77777777" w:rsidR="00EC47CC"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46A84A7C" w14:textId="77777777" w:rsidR="00EC47CC" w:rsidRDefault="00000000">
            <w:pPr>
              <w:keepNext/>
              <w:keepLines/>
              <w:spacing w:after="0" w:line="240" w:lineRule="auto"/>
            </w:pPr>
            <w:r>
              <w:rPr>
                <w:b/>
                <w:sz w:val="18"/>
              </w:rPr>
              <w:t>X001</w:t>
            </w:r>
          </w:p>
        </w:tc>
        <w:tc>
          <w:tcPr>
            <w:tcW w:w="1860" w:type="dxa"/>
            <w:tcMar>
              <w:top w:w="0" w:type="dxa"/>
              <w:bottom w:w="0" w:type="dxa"/>
            </w:tcMar>
            <w:vAlign w:val="center"/>
          </w:tcPr>
          <w:p w14:paraId="413E60D9" w14:textId="77777777" w:rsidR="00EC47CC" w:rsidRDefault="00000000">
            <w:pPr>
              <w:keepNext/>
              <w:keepLines/>
              <w:spacing w:after="0" w:line="240" w:lineRule="auto"/>
              <w:jc w:val="right"/>
            </w:pPr>
            <w:r>
              <w:rPr>
                <w:b/>
                <w:sz w:val="18"/>
              </w:rPr>
              <w:t>20.257,66</w:t>
            </w:r>
          </w:p>
        </w:tc>
        <w:tc>
          <w:tcPr>
            <w:tcW w:w="1860" w:type="dxa"/>
            <w:tcMar>
              <w:top w:w="0" w:type="dxa"/>
              <w:bottom w:w="0" w:type="dxa"/>
            </w:tcMar>
            <w:vAlign w:val="center"/>
          </w:tcPr>
          <w:p w14:paraId="11162A98" w14:textId="77777777" w:rsidR="00EC47CC" w:rsidRDefault="00000000">
            <w:pPr>
              <w:keepNext/>
              <w:keepLines/>
              <w:spacing w:after="0" w:line="240" w:lineRule="auto"/>
              <w:jc w:val="right"/>
            </w:pPr>
            <w:r>
              <w:rPr>
                <w:b/>
                <w:sz w:val="18"/>
              </w:rPr>
              <w:t>21.260,21</w:t>
            </w:r>
          </w:p>
        </w:tc>
        <w:tc>
          <w:tcPr>
            <w:tcW w:w="700" w:type="dxa"/>
            <w:tcMar>
              <w:top w:w="0" w:type="dxa"/>
              <w:bottom w:w="0" w:type="dxa"/>
            </w:tcMar>
            <w:vAlign w:val="center"/>
          </w:tcPr>
          <w:p w14:paraId="1A6CC0D1" w14:textId="77777777" w:rsidR="00EC47CC" w:rsidRDefault="00000000">
            <w:pPr>
              <w:keepNext/>
              <w:keepLines/>
              <w:spacing w:after="0" w:line="240" w:lineRule="auto"/>
              <w:jc w:val="right"/>
            </w:pPr>
            <w:r>
              <w:rPr>
                <w:b/>
                <w:sz w:val="18"/>
              </w:rPr>
              <w:t>104,9</w:t>
            </w:r>
          </w:p>
        </w:tc>
      </w:tr>
      <w:tr w:rsidR="00EC47CC" w14:paraId="1DC16925" w14:textId="77777777">
        <w:tblPrEx>
          <w:tblCellMar>
            <w:top w:w="0" w:type="dxa"/>
            <w:bottom w:w="0" w:type="dxa"/>
          </w:tblCellMar>
        </w:tblPrEx>
        <w:trPr>
          <w:cantSplit/>
          <w:trHeight w:val="560"/>
        </w:trPr>
        <w:tc>
          <w:tcPr>
            <w:tcW w:w="700" w:type="dxa"/>
            <w:tcMar>
              <w:top w:w="0" w:type="dxa"/>
              <w:bottom w:w="0" w:type="dxa"/>
            </w:tcMar>
            <w:vAlign w:val="center"/>
          </w:tcPr>
          <w:p w14:paraId="5072DE9E" w14:textId="77777777" w:rsidR="00EC47CC" w:rsidRDefault="00000000">
            <w:pPr>
              <w:keepNext/>
              <w:keepLines/>
              <w:spacing w:after="0" w:line="240" w:lineRule="auto"/>
            </w:pPr>
            <w:r>
              <w:rPr>
                <w:sz w:val="18"/>
              </w:rPr>
              <w:t>7</w:t>
            </w:r>
          </w:p>
        </w:tc>
        <w:tc>
          <w:tcPr>
            <w:tcW w:w="3180" w:type="dxa"/>
            <w:tcMar>
              <w:top w:w="0" w:type="dxa"/>
              <w:bottom w:w="0" w:type="dxa"/>
            </w:tcMar>
            <w:vAlign w:val="center"/>
          </w:tcPr>
          <w:p w14:paraId="61D3363A" w14:textId="77777777" w:rsidR="00EC47CC"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7ED43F4F" w14:textId="77777777" w:rsidR="00EC47CC" w:rsidRDefault="00000000">
            <w:pPr>
              <w:keepNext/>
              <w:keepLines/>
              <w:spacing w:after="0" w:line="240" w:lineRule="auto"/>
            </w:pPr>
            <w:r>
              <w:rPr>
                <w:sz w:val="18"/>
              </w:rPr>
              <w:t>7</w:t>
            </w:r>
          </w:p>
        </w:tc>
        <w:tc>
          <w:tcPr>
            <w:tcW w:w="1860" w:type="dxa"/>
            <w:tcMar>
              <w:top w:w="0" w:type="dxa"/>
              <w:bottom w:w="0" w:type="dxa"/>
            </w:tcMar>
            <w:vAlign w:val="center"/>
          </w:tcPr>
          <w:p w14:paraId="2F8DBDA6" w14:textId="77777777" w:rsidR="00EC47CC" w:rsidRDefault="00000000">
            <w:pPr>
              <w:keepNext/>
              <w:keepLines/>
              <w:spacing w:after="0" w:line="240" w:lineRule="auto"/>
              <w:jc w:val="right"/>
            </w:pPr>
            <w:r>
              <w:rPr>
                <w:sz w:val="18"/>
              </w:rPr>
              <w:t>0,00</w:t>
            </w:r>
          </w:p>
        </w:tc>
        <w:tc>
          <w:tcPr>
            <w:tcW w:w="1860" w:type="dxa"/>
            <w:tcMar>
              <w:top w:w="0" w:type="dxa"/>
              <w:bottom w:w="0" w:type="dxa"/>
            </w:tcMar>
            <w:vAlign w:val="center"/>
          </w:tcPr>
          <w:p w14:paraId="6BB15E32" w14:textId="77777777" w:rsidR="00EC47CC" w:rsidRDefault="00000000">
            <w:pPr>
              <w:keepNext/>
              <w:keepLines/>
              <w:spacing w:after="0" w:line="240" w:lineRule="auto"/>
              <w:jc w:val="right"/>
            </w:pPr>
            <w:r>
              <w:rPr>
                <w:sz w:val="18"/>
              </w:rPr>
              <w:t>0,00</w:t>
            </w:r>
          </w:p>
        </w:tc>
        <w:tc>
          <w:tcPr>
            <w:tcW w:w="700" w:type="dxa"/>
            <w:tcMar>
              <w:top w:w="0" w:type="dxa"/>
              <w:bottom w:w="0" w:type="dxa"/>
            </w:tcMar>
            <w:vAlign w:val="center"/>
          </w:tcPr>
          <w:p w14:paraId="0E779CA7" w14:textId="77777777" w:rsidR="00EC47CC" w:rsidRDefault="00000000">
            <w:pPr>
              <w:keepNext/>
              <w:keepLines/>
              <w:spacing w:after="0" w:line="240" w:lineRule="auto"/>
              <w:jc w:val="right"/>
            </w:pPr>
            <w:r>
              <w:rPr>
                <w:sz w:val="18"/>
              </w:rPr>
              <w:t>-</w:t>
            </w:r>
          </w:p>
        </w:tc>
      </w:tr>
      <w:tr w:rsidR="00EC47CC" w14:paraId="218C6842" w14:textId="77777777">
        <w:tblPrEx>
          <w:tblCellMar>
            <w:top w:w="0" w:type="dxa"/>
            <w:bottom w:w="0" w:type="dxa"/>
          </w:tblCellMar>
        </w:tblPrEx>
        <w:trPr>
          <w:cantSplit/>
          <w:trHeight w:val="560"/>
        </w:trPr>
        <w:tc>
          <w:tcPr>
            <w:tcW w:w="700" w:type="dxa"/>
            <w:tcMar>
              <w:top w:w="0" w:type="dxa"/>
              <w:bottom w:w="0" w:type="dxa"/>
            </w:tcMar>
            <w:vAlign w:val="center"/>
          </w:tcPr>
          <w:p w14:paraId="1FEB65F1" w14:textId="77777777" w:rsidR="00EC47CC" w:rsidRDefault="00000000">
            <w:pPr>
              <w:keepNext/>
              <w:keepLines/>
              <w:spacing w:after="0" w:line="240" w:lineRule="auto"/>
            </w:pPr>
            <w:r>
              <w:rPr>
                <w:sz w:val="18"/>
              </w:rPr>
              <w:t>4</w:t>
            </w:r>
          </w:p>
        </w:tc>
        <w:tc>
          <w:tcPr>
            <w:tcW w:w="3180" w:type="dxa"/>
            <w:tcMar>
              <w:top w:w="0" w:type="dxa"/>
              <w:bottom w:w="0" w:type="dxa"/>
            </w:tcMar>
            <w:vAlign w:val="center"/>
          </w:tcPr>
          <w:p w14:paraId="24B29C8E" w14:textId="77777777" w:rsidR="00EC47CC"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32CAA6E" w14:textId="77777777" w:rsidR="00EC47CC" w:rsidRDefault="00000000">
            <w:pPr>
              <w:keepNext/>
              <w:keepLines/>
              <w:spacing w:after="0" w:line="240" w:lineRule="auto"/>
            </w:pPr>
            <w:r>
              <w:rPr>
                <w:sz w:val="18"/>
              </w:rPr>
              <w:t>4</w:t>
            </w:r>
          </w:p>
        </w:tc>
        <w:tc>
          <w:tcPr>
            <w:tcW w:w="1860" w:type="dxa"/>
            <w:tcMar>
              <w:top w:w="0" w:type="dxa"/>
              <w:bottom w:w="0" w:type="dxa"/>
            </w:tcMar>
            <w:vAlign w:val="center"/>
          </w:tcPr>
          <w:p w14:paraId="13933CAB" w14:textId="77777777" w:rsidR="00EC47CC" w:rsidRDefault="00000000">
            <w:pPr>
              <w:keepNext/>
              <w:keepLines/>
              <w:spacing w:after="0" w:line="240" w:lineRule="auto"/>
              <w:jc w:val="right"/>
            </w:pPr>
            <w:r>
              <w:rPr>
                <w:sz w:val="18"/>
              </w:rPr>
              <w:t>19.761,83</w:t>
            </w:r>
          </w:p>
        </w:tc>
        <w:tc>
          <w:tcPr>
            <w:tcW w:w="1860" w:type="dxa"/>
            <w:tcMar>
              <w:top w:w="0" w:type="dxa"/>
              <w:bottom w:w="0" w:type="dxa"/>
            </w:tcMar>
            <w:vAlign w:val="center"/>
          </w:tcPr>
          <w:p w14:paraId="128B2598" w14:textId="77777777" w:rsidR="00EC47CC" w:rsidRDefault="00000000">
            <w:pPr>
              <w:keepNext/>
              <w:keepLines/>
              <w:spacing w:after="0" w:line="240" w:lineRule="auto"/>
              <w:jc w:val="right"/>
            </w:pPr>
            <w:r>
              <w:rPr>
                <w:sz w:val="18"/>
              </w:rPr>
              <w:t>19.777,41</w:t>
            </w:r>
          </w:p>
        </w:tc>
        <w:tc>
          <w:tcPr>
            <w:tcW w:w="700" w:type="dxa"/>
            <w:tcMar>
              <w:top w:w="0" w:type="dxa"/>
              <w:bottom w:w="0" w:type="dxa"/>
            </w:tcMar>
            <w:vAlign w:val="center"/>
          </w:tcPr>
          <w:p w14:paraId="7F2DF7E7" w14:textId="77777777" w:rsidR="00EC47CC" w:rsidRDefault="00000000">
            <w:pPr>
              <w:keepNext/>
              <w:keepLines/>
              <w:spacing w:after="0" w:line="240" w:lineRule="auto"/>
              <w:jc w:val="right"/>
            </w:pPr>
            <w:r>
              <w:rPr>
                <w:sz w:val="18"/>
              </w:rPr>
              <w:t>100,1</w:t>
            </w:r>
          </w:p>
        </w:tc>
      </w:tr>
      <w:tr w:rsidR="00EC47CC" w14:paraId="25E74092" w14:textId="77777777">
        <w:tblPrEx>
          <w:tblCellMar>
            <w:top w:w="0" w:type="dxa"/>
            <w:bottom w:w="0" w:type="dxa"/>
          </w:tblCellMar>
        </w:tblPrEx>
        <w:trPr>
          <w:cantSplit/>
          <w:trHeight w:val="560"/>
        </w:trPr>
        <w:tc>
          <w:tcPr>
            <w:tcW w:w="700" w:type="dxa"/>
            <w:tcMar>
              <w:top w:w="0" w:type="dxa"/>
              <w:bottom w:w="0" w:type="dxa"/>
            </w:tcMar>
            <w:vAlign w:val="center"/>
          </w:tcPr>
          <w:p w14:paraId="228871E3" w14:textId="77777777" w:rsidR="00EC47CC" w:rsidRDefault="00EC47CC">
            <w:pPr>
              <w:keepNext/>
              <w:keepLines/>
              <w:spacing w:after="0" w:line="240" w:lineRule="auto"/>
            </w:pPr>
          </w:p>
        </w:tc>
        <w:tc>
          <w:tcPr>
            <w:tcW w:w="3180" w:type="dxa"/>
            <w:tcMar>
              <w:top w:w="0" w:type="dxa"/>
              <w:bottom w:w="0" w:type="dxa"/>
            </w:tcMar>
            <w:vAlign w:val="center"/>
          </w:tcPr>
          <w:p w14:paraId="6785D6FF" w14:textId="77777777" w:rsidR="00EC47CC"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1495E40F" w14:textId="77777777" w:rsidR="00EC47CC" w:rsidRDefault="00000000">
            <w:pPr>
              <w:keepNext/>
              <w:keepLines/>
              <w:spacing w:after="0" w:line="240" w:lineRule="auto"/>
            </w:pPr>
            <w:r>
              <w:rPr>
                <w:b/>
                <w:sz w:val="18"/>
              </w:rPr>
              <w:t>Y002</w:t>
            </w:r>
          </w:p>
        </w:tc>
        <w:tc>
          <w:tcPr>
            <w:tcW w:w="1860" w:type="dxa"/>
            <w:tcMar>
              <w:top w:w="0" w:type="dxa"/>
              <w:bottom w:w="0" w:type="dxa"/>
            </w:tcMar>
            <w:vAlign w:val="center"/>
          </w:tcPr>
          <w:p w14:paraId="555ACABF" w14:textId="77777777" w:rsidR="00EC47CC" w:rsidRDefault="00000000">
            <w:pPr>
              <w:keepNext/>
              <w:keepLines/>
              <w:spacing w:after="0" w:line="240" w:lineRule="auto"/>
              <w:jc w:val="right"/>
            </w:pPr>
            <w:r>
              <w:rPr>
                <w:b/>
                <w:sz w:val="18"/>
              </w:rPr>
              <w:t>19.761,83</w:t>
            </w:r>
          </w:p>
        </w:tc>
        <w:tc>
          <w:tcPr>
            <w:tcW w:w="1860" w:type="dxa"/>
            <w:tcMar>
              <w:top w:w="0" w:type="dxa"/>
              <w:bottom w:w="0" w:type="dxa"/>
            </w:tcMar>
            <w:vAlign w:val="center"/>
          </w:tcPr>
          <w:p w14:paraId="1720DD2D" w14:textId="77777777" w:rsidR="00EC47CC" w:rsidRDefault="00000000">
            <w:pPr>
              <w:keepNext/>
              <w:keepLines/>
              <w:spacing w:after="0" w:line="240" w:lineRule="auto"/>
              <w:jc w:val="right"/>
            </w:pPr>
            <w:r>
              <w:rPr>
                <w:b/>
                <w:sz w:val="18"/>
              </w:rPr>
              <w:t>19.777,41</w:t>
            </w:r>
          </w:p>
        </w:tc>
        <w:tc>
          <w:tcPr>
            <w:tcW w:w="700" w:type="dxa"/>
            <w:tcMar>
              <w:top w:w="0" w:type="dxa"/>
              <w:bottom w:w="0" w:type="dxa"/>
            </w:tcMar>
            <w:vAlign w:val="center"/>
          </w:tcPr>
          <w:p w14:paraId="62D1CE61" w14:textId="77777777" w:rsidR="00EC47CC" w:rsidRDefault="00000000">
            <w:pPr>
              <w:keepNext/>
              <w:keepLines/>
              <w:spacing w:after="0" w:line="240" w:lineRule="auto"/>
              <w:jc w:val="right"/>
            </w:pPr>
            <w:r>
              <w:rPr>
                <w:b/>
                <w:sz w:val="18"/>
              </w:rPr>
              <w:t>100,1</w:t>
            </w:r>
          </w:p>
        </w:tc>
      </w:tr>
      <w:tr w:rsidR="00EC47CC" w14:paraId="4EEAFE3F" w14:textId="77777777">
        <w:tblPrEx>
          <w:tblCellMar>
            <w:top w:w="0" w:type="dxa"/>
            <w:bottom w:w="0" w:type="dxa"/>
          </w:tblCellMar>
        </w:tblPrEx>
        <w:trPr>
          <w:cantSplit/>
          <w:trHeight w:val="560"/>
        </w:trPr>
        <w:tc>
          <w:tcPr>
            <w:tcW w:w="700" w:type="dxa"/>
            <w:tcMar>
              <w:top w:w="0" w:type="dxa"/>
              <w:bottom w:w="0" w:type="dxa"/>
            </w:tcMar>
            <w:vAlign w:val="center"/>
          </w:tcPr>
          <w:p w14:paraId="33A4F902" w14:textId="77777777" w:rsidR="00EC47CC" w:rsidRDefault="00000000">
            <w:pPr>
              <w:keepNext/>
              <w:keepLines/>
              <w:spacing w:after="0" w:line="240" w:lineRule="auto"/>
            </w:pPr>
            <w:r>
              <w:rPr>
                <w:sz w:val="18"/>
              </w:rPr>
              <w:t>8</w:t>
            </w:r>
          </w:p>
        </w:tc>
        <w:tc>
          <w:tcPr>
            <w:tcW w:w="3180" w:type="dxa"/>
            <w:tcMar>
              <w:top w:w="0" w:type="dxa"/>
              <w:bottom w:w="0" w:type="dxa"/>
            </w:tcMar>
            <w:vAlign w:val="center"/>
          </w:tcPr>
          <w:p w14:paraId="5AF17EA4" w14:textId="77777777" w:rsidR="00EC47CC"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7D944D44" w14:textId="77777777" w:rsidR="00EC47CC" w:rsidRDefault="00000000">
            <w:pPr>
              <w:keepNext/>
              <w:keepLines/>
              <w:spacing w:after="0" w:line="240" w:lineRule="auto"/>
            </w:pPr>
            <w:r>
              <w:rPr>
                <w:sz w:val="18"/>
              </w:rPr>
              <w:t>8</w:t>
            </w:r>
          </w:p>
        </w:tc>
        <w:tc>
          <w:tcPr>
            <w:tcW w:w="1860" w:type="dxa"/>
            <w:tcMar>
              <w:top w:w="0" w:type="dxa"/>
              <w:bottom w:w="0" w:type="dxa"/>
            </w:tcMar>
            <w:vAlign w:val="center"/>
          </w:tcPr>
          <w:p w14:paraId="3D6514ED" w14:textId="77777777" w:rsidR="00EC47CC" w:rsidRDefault="00000000">
            <w:pPr>
              <w:keepNext/>
              <w:keepLines/>
              <w:spacing w:after="0" w:line="240" w:lineRule="auto"/>
              <w:jc w:val="right"/>
            </w:pPr>
            <w:r>
              <w:rPr>
                <w:sz w:val="18"/>
              </w:rPr>
              <w:t>0,00</w:t>
            </w:r>
          </w:p>
        </w:tc>
        <w:tc>
          <w:tcPr>
            <w:tcW w:w="1860" w:type="dxa"/>
            <w:tcMar>
              <w:top w:w="0" w:type="dxa"/>
              <w:bottom w:w="0" w:type="dxa"/>
            </w:tcMar>
            <w:vAlign w:val="center"/>
          </w:tcPr>
          <w:p w14:paraId="69E09F3D" w14:textId="77777777" w:rsidR="00EC47CC" w:rsidRDefault="00000000">
            <w:pPr>
              <w:keepNext/>
              <w:keepLines/>
              <w:spacing w:after="0" w:line="240" w:lineRule="auto"/>
              <w:jc w:val="right"/>
            </w:pPr>
            <w:r>
              <w:rPr>
                <w:sz w:val="18"/>
              </w:rPr>
              <w:t>0,00</w:t>
            </w:r>
          </w:p>
        </w:tc>
        <w:tc>
          <w:tcPr>
            <w:tcW w:w="700" w:type="dxa"/>
            <w:tcMar>
              <w:top w:w="0" w:type="dxa"/>
              <w:bottom w:w="0" w:type="dxa"/>
            </w:tcMar>
            <w:vAlign w:val="center"/>
          </w:tcPr>
          <w:p w14:paraId="6949CA83" w14:textId="77777777" w:rsidR="00EC47CC" w:rsidRDefault="00000000">
            <w:pPr>
              <w:keepNext/>
              <w:keepLines/>
              <w:spacing w:after="0" w:line="240" w:lineRule="auto"/>
              <w:jc w:val="right"/>
            </w:pPr>
            <w:r>
              <w:rPr>
                <w:sz w:val="18"/>
              </w:rPr>
              <w:t>-</w:t>
            </w:r>
          </w:p>
        </w:tc>
      </w:tr>
      <w:tr w:rsidR="00EC47CC" w14:paraId="0F5B25C0" w14:textId="77777777">
        <w:tblPrEx>
          <w:tblCellMar>
            <w:top w:w="0" w:type="dxa"/>
            <w:bottom w:w="0" w:type="dxa"/>
          </w:tblCellMar>
        </w:tblPrEx>
        <w:trPr>
          <w:cantSplit/>
          <w:trHeight w:val="560"/>
        </w:trPr>
        <w:tc>
          <w:tcPr>
            <w:tcW w:w="700" w:type="dxa"/>
            <w:tcMar>
              <w:top w:w="0" w:type="dxa"/>
              <w:bottom w:w="0" w:type="dxa"/>
            </w:tcMar>
            <w:vAlign w:val="center"/>
          </w:tcPr>
          <w:p w14:paraId="28289DFD" w14:textId="77777777" w:rsidR="00EC47CC" w:rsidRDefault="00000000">
            <w:pPr>
              <w:keepNext/>
              <w:keepLines/>
              <w:spacing w:after="0" w:line="240" w:lineRule="auto"/>
            </w:pPr>
            <w:r>
              <w:rPr>
                <w:sz w:val="18"/>
              </w:rPr>
              <w:t>5</w:t>
            </w:r>
          </w:p>
        </w:tc>
        <w:tc>
          <w:tcPr>
            <w:tcW w:w="3180" w:type="dxa"/>
            <w:tcMar>
              <w:top w:w="0" w:type="dxa"/>
              <w:bottom w:w="0" w:type="dxa"/>
            </w:tcMar>
            <w:vAlign w:val="center"/>
          </w:tcPr>
          <w:p w14:paraId="3941CA5A" w14:textId="77777777" w:rsidR="00EC47CC"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BFCB790" w14:textId="77777777" w:rsidR="00EC47CC" w:rsidRDefault="00000000">
            <w:pPr>
              <w:keepNext/>
              <w:keepLines/>
              <w:spacing w:after="0" w:line="240" w:lineRule="auto"/>
            </w:pPr>
            <w:r>
              <w:rPr>
                <w:sz w:val="18"/>
              </w:rPr>
              <w:t>5</w:t>
            </w:r>
          </w:p>
        </w:tc>
        <w:tc>
          <w:tcPr>
            <w:tcW w:w="1860" w:type="dxa"/>
            <w:tcMar>
              <w:top w:w="0" w:type="dxa"/>
              <w:bottom w:w="0" w:type="dxa"/>
            </w:tcMar>
            <w:vAlign w:val="center"/>
          </w:tcPr>
          <w:p w14:paraId="191AD320" w14:textId="77777777" w:rsidR="00EC47CC" w:rsidRDefault="00000000">
            <w:pPr>
              <w:keepNext/>
              <w:keepLines/>
              <w:spacing w:after="0" w:line="240" w:lineRule="auto"/>
              <w:jc w:val="right"/>
            </w:pPr>
            <w:r>
              <w:rPr>
                <w:sz w:val="18"/>
              </w:rPr>
              <w:t>0,00</w:t>
            </w:r>
          </w:p>
        </w:tc>
        <w:tc>
          <w:tcPr>
            <w:tcW w:w="1860" w:type="dxa"/>
            <w:tcMar>
              <w:top w:w="0" w:type="dxa"/>
              <w:bottom w:w="0" w:type="dxa"/>
            </w:tcMar>
            <w:vAlign w:val="center"/>
          </w:tcPr>
          <w:p w14:paraId="352234DD" w14:textId="77777777" w:rsidR="00EC47CC" w:rsidRDefault="00000000">
            <w:pPr>
              <w:keepNext/>
              <w:keepLines/>
              <w:spacing w:after="0" w:line="240" w:lineRule="auto"/>
              <w:jc w:val="right"/>
            </w:pPr>
            <w:r>
              <w:rPr>
                <w:sz w:val="18"/>
              </w:rPr>
              <w:t>0,00</w:t>
            </w:r>
          </w:p>
        </w:tc>
        <w:tc>
          <w:tcPr>
            <w:tcW w:w="700" w:type="dxa"/>
            <w:tcMar>
              <w:top w:w="0" w:type="dxa"/>
              <w:bottom w:w="0" w:type="dxa"/>
            </w:tcMar>
            <w:vAlign w:val="center"/>
          </w:tcPr>
          <w:p w14:paraId="7C52CBA3" w14:textId="77777777" w:rsidR="00EC47CC" w:rsidRDefault="00000000">
            <w:pPr>
              <w:keepNext/>
              <w:keepLines/>
              <w:spacing w:after="0" w:line="240" w:lineRule="auto"/>
              <w:jc w:val="right"/>
            </w:pPr>
            <w:r>
              <w:rPr>
                <w:sz w:val="18"/>
              </w:rPr>
              <w:t>-</w:t>
            </w:r>
          </w:p>
        </w:tc>
      </w:tr>
      <w:tr w:rsidR="00EC47CC" w14:paraId="75563955" w14:textId="77777777">
        <w:tblPrEx>
          <w:tblCellMar>
            <w:top w:w="0" w:type="dxa"/>
            <w:bottom w:w="0" w:type="dxa"/>
          </w:tblCellMar>
        </w:tblPrEx>
        <w:trPr>
          <w:cantSplit/>
          <w:trHeight w:val="560"/>
        </w:trPr>
        <w:tc>
          <w:tcPr>
            <w:tcW w:w="700" w:type="dxa"/>
            <w:tcMar>
              <w:top w:w="0" w:type="dxa"/>
              <w:bottom w:w="0" w:type="dxa"/>
            </w:tcMar>
            <w:vAlign w:val="center"/>
          </w:tcPr>
          <w:p w14:paraId="36C40234" w14:textId="77777777" w:rsidR="00EC47CC" w:rsidRDefault="00EC47CC">
            <w:pPr>
              <w:keepNext/>
              <w:keepLines/>
              <w:spacing w:after="0" w:line="240" w:lineRule="auto"/>
            </w:pPr>
          </w:p>
        </w:tc>
        <w:tc>
          <w:tcPr>
            <w:tcW w:w="3180" w:type="dxa"/>
            <w:tcMar>
              <w:top w:w="0" w:type="dxa"/>
              <w:bottom w:w="0" w:type="dxa"/>
            </w:tcMar>
            <w:vAlign w:val="center"/>
          </w:tcPr>
          <w:p w14:paraId="18955B5C" w14:textId="77777777" w:rsidR="00EC47CC"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34DEA36D" w14:textId="77777777" w:rsidR="00EC47CC" w:rsidRDefault="00000000">
            <w:pPr>
              <w:keepNext/>
              <w:keepLines/>
              <w:spacing w:after="0" w:line="240" w:lineRule="auto"/>
            </w:pPr>
            <w:r>
              <w:rPr>
                <w:b/>
                <w:sz w:val="18"/>
              </w:rPr>
              <w:t>X003, Y003</w:t>
            </w:r>
          </w:p>
        </w:tc>
        <w:tc>
          <w:tcPr>
            <w:tcW w:w="1860" w:type="dxa"/>
            <w:tcMar>
              <w:top w:w="0" w:type="dxa"/>
              <w:bottom w:w="0" w:type="dxa"/>
            </w:tcMar>
            <w:vAlign w:val="center"/>
          </w:tcPr>
          <w:p w14:paraId="5C305F9E" w14:textId="77777777" w:rsidR="00EC47CC" w:rsidRDefault="00000000">
            <w:pPr>
              <w:keepNext/>
              <w:keepLines/>
              <w:spacing w:after="0" w:line="240" w:lineRule="auto"/>
              <w:jc w:val="right"/>
            </w:pPr>
            <w:r>
              <w:rPr>
                <w:b/>
                <w:sz w:val="18"/>
              </w:rPr>
              <w:t>0,00</w:t>
            </w:r>
          </w:p>
        </w:tc>
        <w:tc>
          <w:tcPr>
            <w:tcW w:w="1860" w:type="dxa"/>
            <w:tcMar>
              <w:top w:w="0" w:type="dxa"/>
              <w:bottom w:w="0" w:type="dxa"/>
            </w:tcMar>
            <w:vAlign w:val="center"/>
          </w:tcPr>
          <w:p w14:paraId="46D11421" w14:textId="77777777" w:rsidR="00EC47CC" w:rsidRDefault="00000000">
            <w:pPr>
              <w:keepNext/>
              <w:keepLines/>
              <w:spacing w:after="0" w:line="240" w:lineRule="auto"/>
              <w:jc w:val="right"/>
            </w:pPr>
            <w:r>
              <w:rPr>
                <w:b/>
                <w:sz w:val="18"/>
              </w:rPr>
              <w:t>0,00</w:t>
            </w:r>
          </w:p>
        </w:tc>
        <w:tc>
          <w:tcPr>
            <w:tcW w:w="700" w:type="dxa"/>
            <w:tcMar>
              <w:top w:w="0" w:type="dxa"/>
              <w:bottom w:w="0" w:type="dxa"/>
            </w:tcMar>
            <w:vAlign w:val="center"/>
          </w:tcPr>
          <w:p w14:paraId="5DFE06C2" w14:textId="77777777" w:rsidR="00EC47CC" w:rsidRDefault="00000000">
            <w:pPr>
              <w:keepNext/>
              <w:keepLines/>
              <w:spacing w:after="0" w:line="240" w:lineRule="auto"/>
              <w:jc w:val="right"/>
            </w:pPr>
            <w:r>
              <w:rPr>
                <w:b/>
                <w:sz w:val="18"/>
              </w:rPr>
              <w:t>-</w:t>
            </w:r>
          </w:p>
        </w:tc>
      </w:tr>
      <w:tr w:rsidR="00EC47CC" w14:paraId="10F8FB38" w14:textId="77777777">
        <w:tblPrEx>
          <w:tblCellMar>
            <w:top w:w="0" w:type="dxa"/>
            <w:bottom w:w="0" w:type="dxa"/>
          </w:tblCellMar>
        </w:tblPrEx>
        <w:trPr>
          <w:cantSplit/>
          <w:trHeight w:val="560"/>
        </w:trPr>
        <w:tc>
          <w:tcPr>
            <w:tcW w:w="700" w:type="dxa"/>
            <w:tcMar>
              <w:top w:w="0" w:type="dxa"/>
              <w:bottom w:w="0" w:type="dxa"/>
            </w:tcMar>
            <w:vAlign w:val="center"/>
          </w:tcPr>
          <w:p w14:paraId="07E2718F" w14:textId="77777777" w:rsidR="00EC47CC" w:rsidRDefault="00EC47CC">
            <w:pPr>
              <w:keepNext/>
              <w:keepLines/>
              <w:spacing w:after="0" w:line="240" w:lineRule="auto"/>
            </w:pPr>
          </w:p>
        </w:tc>
        <w:tc>
          <w:tcPr>
            <w:tcW w:w="3180" w:type="dxa"/>
            <w:tcMar>
              <w:top w:w="0" w:type="dxa"/>
              <w:bottom w:w="0" w:type="dxa"/>
            </w:tcMar>
            <w:vAlign w:val="center"/>
          </w:tcPr>
          <w:p w14:paraId="152B4235" w14:textId="77777777" w:rsidR="00EC47CC"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3797BB21" w14:textId="77777777" w:rsidR="00EC47CC" w:rsidRDefault="00000000">
            <w:pPr>
              <w:keepNext/>
              <w:keepLines/>
              <w:spacing w:after="0" w:line="240" w:lineRule="auto"/>
            </w:pPr>
            <w:r>
              <w:rPr>
                <w:b/>
                <w:sz w:val="18"/>
              </w:rPr>
              <w:t>X005</w:t>
            </w:r>
          </w:p>
        </w:tc>
        <w:tc>
          <w:tcPr>
            <w:tcW w:w="1860" w:type="dxa"/>
            <w:tcMar>
              <w:top w:w="0" w:type="dxa"/>
              <w:bottom w:w="0" w:type="dxa"/>
            </w:tcMar>
            <w:vAlign w:val="center"/>
          </w:tcPr>
          <w:p w14:paraId="52F2AC97" w14:textId="77777777" w:rsidR="00EC47CC" w:rsidRDefault="00000000">
            <w:pPr>
              <w:keepNext/>
              <w:keepLines/>
              <w:spacing w:after="0" w:line="240" w:lineRule="auto"/>
              <w:jc w:val="right"/>
            </w:pPr>
            <w:r>
              <w:rPr>
                <w:b/>
                <w:sz w:val="18"/>
              </w:rPr>
              <w:t>495,83</w:t>
            </w:r>
          </w:p>
        </w:tc>
        <w:tc>
          <w:tcPr>
            <w:tcW w:w="1860" w:type="dxa"/>
            <w:tcMar>
              <w:top w:w="0" w:type="dxa"/>
              <w:bottom w:w="0" w:type="dxa"/>
            </w:tcMar>
            <w:vAlign w:val="center"/>
          </w:tcPr>
          <w:p w14:paraId="42D40142" w14:textId="77777777" w:rsidR="00EC47CC" w:rsidRDefault="00000000">
            <w:pPr>
              <w:keepNext/>
              <w:keepLines/>
              <w:spacing w:after="0" w:line="240" w:lineRule="auto"/>
              <w:jc w:val="right"/>
            </w:pPr>
            <w:r>
              <w:rPr>
                <w:b/>
                <w:sz w:val="18"/>
              </w:rPr>
              <w:t>1.482,80</w:t>
            </w:r>
          </w:p>
        </w:tc>
        <w:tc>
          <w:tcPr>
            <w:tcW w:w="700" w:type="dxa"/>
            <w:tcMar>
              <w:top w:w="0" w:type="dxa"/>
              <w:bottom w:w="0" w:type="dxa"/>
            </w:tcMar>
            <w:vAlign w:val="center"/>
          </w:tcPr>
          <w:p w14:paraId="5A412A1A" w14:textId="77777777" w:rsidR="00EC47CC" w:rsidRDefault="00000000">
            <w:pPr>
              <w:keepNext/>
              <w:keepLines/>
              <w:spacing w:after="0" w:line="240" w:lineRule="auto"/>
              <w:jc w:val="right"/>
            </w:pPr>
            <w:r>
              <w:rPr>
                <w:b/>
                <w:sz w:val="18"/>
              </w:rPr>
              <w:t>299,1</w:t>
            </w:r>
          </w:p>
        </w:tc>
      </w:tr>
    </w:tbl>
    <w:p w14:paraId="3ACA49AB" w14:textId="77777777" w:rsidR="00EC47CC" w:rsidRDefault="00EC47CC">
      <w:pPr>
        <w:spacing w:after="0"/>
      </w:pPr>
    </w:p>
    <w:p w14:paraId="7D78F30B" w14:textId="77777777" w:rsidR="00EC47CC" w:rsidRDefault="00000000">
      <w:r>
        <w:t xml:space="preserve">U razdoblju od 1. siječnja do 31. prosinca 2025. godine prihodi poslovanja  ostvareni su u iznosu od 120.141,91 eura i isti su u odnosu na isto razdoblje prethodne godine veći za 31,2% odnosno 28.544,12 eura.  Najznačajnije povećanje prihoda poslovanja ostvareno je na prihodima iz nadležnog proračuna koji su veći za 35%% (povećanje za 26.300,63 eura).  Rashodi poslovanja u razdoblju od 1. siječnja do 31. prosinca ostvareni su u iznosu od 98.881,70 eura i isti su u odnosu na isto razdoblje prethodne godine veći za 38,6% odnosno </w:t>
      </w:r>
      <w:r>
        <w:lastRenderedPageBreak/>
        <w:t xml:space="preserve">27.541,57 eura. Najznačajnije povećanje rashoda evidentirano je na rashodima za zaposlene uslijed povećanja plaća u 2025. godini te ukidanja kontinuiranih rashoda budućih razdoblja odnosno knjiženja rashoda za zaposlene za prosinac 2024. godine u rashode 2025. godine u iznosu od 5.354,71 eura. Značajno povećanje rashoda evidentirano je i na računu 3238 Računalne usluge za 840,6% (povećanje za 4.723,12 eura) što se odnosi na pripremne radnje za ulazak u sustav riznice odnosno troškove implementacije e-SPI sustava tvrtke </w:t>
      </w:r>
      <w:proofErr w:type="spellStart"/>
      <w:r>
        <w:t>Libusoft</w:t>
      </w:r>
      <w:proofErr w:type="spellEnd"/>
      <w:r>
        <w:t xml:space="preserve"> Cicom d.o.o. Rashodi za nabavu nefinancijske imovine u iznosu od 19.777,41 eura nemaju značajnijih odstupanja i isti se najvećim dijelom odnose na nabavu knjiga u iznosu od 16.167,61 eura, nabavu računala i računalne opreme u iznosu od 1.184,80 eura, nabavu kolica za knjige u iznosu od 1.575,00 eura te kupnju ostalih nespomenutih izložbenih vrijednosti (stare fotografije i razglednice) u iznosu od 850,00 eura. U navedenom razdoblju nema ostvarenih prihoda od prodaje nefinancijske imovine te nije bilo ostvarenih primitaka i izdataka od financijske imovine i zaduživanja. Na kraju izvještajnog razdoblja ostvaren je višak prihoda i primitaka u iznosu od 2.803,53 eura.</w:t>
      </w:r>
    </w:p>
    <w:p w14:paraId="2410E99B" w14:textId="77777777" w:rsidR="00EC47CC" w:rsidRDefault="00000000">
      <w:r>
        <w:br/>
      </w:r>
    </w:p>
    <w:p w14:paraId="37DE957C" w14:textId="77777777" w:rsidR="00EC47CC" w:rsidRDefault="00000000">
      <w:pPr>
        <w:keepNext/>
        <w:spacing w:line="240" w:lineRule="auto"/>
        <w:jc w:val="center"/>
      </w:pPr>
      <w:r>
        <w:rPr>
          <w:b/>
          <w:sz w:val="28"/>
        </w:rPr>
        <w:t>Bilanca</w:t>
      </w:r>
    </w:p>
    <w:p w14:paraId="71197608" w14:textId="77777777" w:rsidR="00EC47CC"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47CC" w14:paraId="77D9F7B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D215C0" w14:textId="77777777" w:rsidR="00EC47C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9968E7" w14:textId="77777777" w:rsidR="00EC47C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5A2D06" w14:textId="77777777" w:rsidR="00EC47C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7E277A" w14:textId="77777777" w:rsidR="00EC47C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6BD6D88" w14:textId="77777777" w:rsidR="00EC47C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C1FB7C6" w14:textId="77777777" w:rsidR="00EC47CC" w:rsidRDefault="00000000">
            <w:pPr>
              <w:keepNext/>
              <w:keepLines/>
              <w:spacing w:after="0" w:line="240" w:lineRule="auto"/>
              <w:jc w:val="center"/>
            </w:pPr>
            <w:r>
              <w:rPr>
                <w:b/>
                <w:sz w:val="18"/>
              </w:rPr>
              <w:t>Indeks (%)</w:t>
            </w:r>
          </w:p>
        </w:tc>
      </w:tr>
      <w:tr w:rsidR="00EC47CC" w14:paraId="116BF4D5" w14:textId="77777777">
        <w:tblPrEx>
          <w:tblCellMar>
            <w:top w:w="0" w:type="dxa"/>
            <w:bottom w:w="0" w:type="dxa"/>
          </w:tblCellMar>
        </w:tblPrEx>
        <w:trPr>
          <w:cantSplit/>
          <w:trHeight w:val="560"/>
        </w:trPr>
        <w:tc>
          <w:tcPr>
            <w:tcW w:w="700" w:type="dxa"/>
            <w:tcMar>
              <w:top w:w="0" w:type="dxa"/>
              <w:bottom w:w="0" w:type="dxa"/>
            </w:tcMar>
            <w:vAlign w:val="center"/>
          </w:tcPr>
          <w:p w14:paraId="000086E4" w14:textId="77777777" w:rsidR="00EC47CC" w:rsidRDefault="00000000">
            <w:pPr>
              <w:keepNext/>
              <w:keepLines/>
              <w:spacing w:after="0" w:line="240" w:lineRule="auto"/>
            </w:pPr>
            <w:r>
              <w:rPr>
                <w:sz w:val="18"/>
              </w:rPr>
              <w:t>0241</w:t>
            </w:r>
          </w:p>
        </w:tc>
        <w:tc>
          <w:tcPr>
            <w:tcW w:w="3180" w:type="dxa"/>
            <w:tcMar>
              <w:top w:w="0" w:type="dxa"/>
              <w:bottom w:w="0" w:type="dxa"/>
            </w:tcMar>
            <w:vAlign w:val="center"/>
          </w:tcPr>
          <w:p w14:paraId="2F438BDB" w14:textId="77777777" w:rsidR="00EC47CC" w:rsidRDefault="00000000">
            <w:pPr>
              <w:keepNext/>
              <w:keepLines/>
              <w:spacing w:after="0" w:line="240" w:lineRule="auto"/>
            </w:pPr>
            <w:r>
              <w:rPr>
                <w:sz w:val="18"/>
              </w:rPr>
              <w:t>Knjige</w:t>
            </w:r>
          </w:p>
        </w:tc>
        <w:tc>
          <w:tcPr>
            <w:tcW w:w="700" w:type="dxa"/>
            <w:tcMar>
              <w:top w:w="0" w:type="dxa"/>
              <w:bottom w:w="0" w:type="dxa"/>
            </w:tcMar>
            <w:vAlign w:val="center"/>
          </w:tcPr>
          <w:p w14:paraId="4D591EC9" w14:textId="77777777" w:rsidR="00EC47CC" w:rsidRDefault="00000000">
            <w:pPr>
              <w:keepNext/>
              <w:keepLines/>
              <w:spacing w:after="0" w:line="240" w:lineRule="auto"/>
            </w:pPr>
            <w:r>
              <w:rPr>
                <w:sz w:val="18"/>
              </w:rPr>
              <w:t>0241</w:t>
            </w:r>
          </w:p>
        </w:tc>
        <w:tc>
          <w:tcPr>
            <w:tcW w:w="1860" w:type="dxa"/>
            <w:tcMar>
              <w:top w:w="0" w:type="dxa"/>
              <w:bottom w:w="0" w:type="dxa"/>
            </w:tcMar>
            <w:vAlign w:val="center"/>
          </w:tcPr>
          <w:p w14:paraId="6EFEDE8E" w14:textId="77777777" w:rsidR="00EC47CC" w:rsidRDefault="00000000">
            <w:pPr>
              <w:keepNext/>
              <w:keepLines/>
              <w:spacing w:after="0" w:line="240" w:lineRule="auto"/>
              <w:jc w:val="right"/>
            </w:pPr>
            <w:r>
              <w:rPr>
                <w:sz w:val="18"/>
              </w:rPr>
              <w:t>297.729,81</w:t>
            </w:r>
          </w:p>
        </w:tc>
        <w:tc>
          <w:tcPr>
            <w:tcW w:w="1860" w:type="dxa"/>
            <w:tcMar>
              <w:top w:w="0" w:type="dxa"/>
              <w:bottom w:w="0" w:type="dxa"/>
            </w:tcMar>
            <w:vAlign w:val="center"/>
          </w:tcPr>
          <w:p w14:paraId="42ACF01C" w14:textId="77777777" w:rsidR="00EC47CC" w:rsidRDefault="00000000">
            <w:pPr>
              <w:keepNext/>
              <w:keepLines/>
              <w:spacing w:after="0" w:line="240" w:lineRule="auto"/>
              <w:jc w:val="right"/>
            </w:pPr>
            <w:r>
              <w:rPr>
                <w:sz w:val="18"/>
              </w:rPr>
              <w:t>313.897,42</w:t>
            </w:r>
          </w:p>
        </w:tc>
        <w:tc>
          <w:tcPr>
            <w:tcW w:w="700" w:type="dxa"/>
            <w:tcMar>
              <w:top w:w="0" w:type="dxa"/>
              <w:bottom w:w="0" w:type="dxa"/>
            </w:tcMar>
            <w:vAlign w:val="center"/>
          </w:tcPr>
          <w:p w14:paraId="7F844C31" w14:textId="77777777" w:rsidR="00EC47CC" w:rsidRDefault="00000000">
            <w:pPr>
              <w:keepNext/>
              <w:keepLines/>
              <w:spacing w:after="0" w:line="240" w:lineRule="auto"/>
              <w:jc w:val="right"/>
            </w:pPr>
            <w:r>
              <w:rPr>
                <w:sz w:val="18"/>
              </w:rPr>
              <w:t>105,4</w:t>
            </w:r>
          </w:p>
        </w:tc>
      </w:tr>
    </w:tbl>
    <w:p w14:paraId="759C3AC2" w14:textId="77777777" w:rsidR="00EC47CC" w:rsidRDefault="00EC47CC">
      <w:pPr>
        <w:spacing w:after="0"/>
      </w:pPr>
    </w:p>
    <w:p w14:paraId="05872B34" w14:textId="77777777" w:rsidR="00EC47CC" w:rsidRDefault="00000000">
      <w:r>
        <w:t>Na dan 31.12.2025. godine nabavna vrijednost knjiga iznosi 313.897,42 eura i ista je u odnosu na prethodnu godinu veća za 5,4% odnosno 16.167,61 eura. Ispravak vrijednosti knjiga provodi se po godišnjoj stopi od 20%. Sadašnja (knjigovodstvena) vrijednost iznosi 42.866,01 eura.</w:t>
      </w:r>
    </w:p>
    <w:p w14:paraId="2D910DC8" w14:textId="77777777" w:rsidR="00EC47CC" w:rsidRDefault="00EC47CC"/>
    <w:p w14:paraId="30CA8BB9" w14:textId="77777777" w:rsidR="00EC47CC"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47CC" w14:paraId="2FD5AA6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5EF86B" w14:textId="77777777" w:rsidR="00EC47C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6D1444" w14:textId="77777777" w:rsidR="00EC47C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AF1DAF" w14:textId="77777777" w:rsidR="00EC47C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12D07E" w14:textId="77777777" w:rsidR="00EC47C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FD52673" w14:textId="77777777" w:rsidR="00EC47C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F30D7DB" w14:textId="77777777" w:rsidR="00EC47CC" w:rsidRDefault="00000000">
            <w:pPr>
              <w:keepNext/>
              <w:keepLines/>
              <w:spacing w:after="0" w:line="240" w:lineRule="auto"/>
              <w:jc w:val="center"/>
            </w:pPr>
            <w:r>
              <w:rPr>
                <w:b/>
                <w:sz w:val="18"/>
              </w:rPr>
              <w:t>Indeks (%)</w:t>
            </w:r>
          </w:p>
        </w:tc>
      </w:tr>
      <w:tr w:rsidR="00EC47CC" w14:paraId="1ECC4C89" w14:textId="77777777">
        <w:tblPrEx>
          <w:tblCellMar>
            <w:top w:w="0" w:type="dxa"/>
            <w:bottom w:w="0" w:type="dxa"/>
          </w:tblCellMar>
        </w:tblPrEx>
        <w:trPr>
          <w:cantSplit/>
          <w:trHeight w:val="560"/>
        </w:trPr>
        <w:tc>
          <w:tcPr>
            <w:tcW w:w="700" w:type="dxa"/>
            <w:tcMar>
              <w:top w:w="0" w:type="dxa"/>
              <w:bottom w:w="0" w:type="dxa"/>
            </w:tcMar>
            <w:vAlign w:val="center"/>
          </w:tcPr>
          <w:p w14:paraId="32F5F918" w14:textId="77777777" w:rsidR="00EC47CC" w:rsidRDefault="00000000">
            <w:pPr>
              <w:keepNext/>
              <w:keepLines/>
              <w:spacing w:after="0" w:line="240" w:lineRule="auto"/>
            </w:pPr>
            <w:r>
              <w:rPr>
                <w:sz w:val="18"/>
              </w:rPr>
              <w:t>922</w:t>
            </w:r>
          </w:p>
        </w:tc>
        <w:tc>
          <w:tcPr>
            <w:tcW w:w="3180" w:type="dxa"/>
            <w:tcMar>
              <w:top w:w="0" w:type="dxa"/>
              <w:bottom w:w="0" w:type="dxa"/>
            </w:tcMar>
            <w:vAlign w:val="center"/>
          </w:tcPr>
          <w:p w14:paraId="2161EDDB" w14:textId="77777777" w:rsidR="00EC47CC"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44EE9FC2" w14:textId="77777777" w:rsidR="00EC47CC" w:rsidRDefault="00000000">
            <w:pPr>
              <w:keepNext/>
              <w:keepLines/>
              <w:spacing w:after="0" w:line="240" w:lineRule="auto"/>
            </w:pPr>
            <w:r>
              <w:rPr>
                <w:sz w:val="18"/>
              </w:rPr>
              <w:t>922</w:t>
            </w:r>
          </w:p>
        </w:tc>
        <w:tc>
          <w:tcPr>
            <w:tcW w:w="1860" w:type="dxa"/>
            <w:tcMar>
              <w:top w:w="0" w:type="dxa"/>
              <w:bottom w:w="0" w:type="dxa"/>
            </w:tcMar>
            <w:vAlign w:val="center"/>
          </w:tcPr>
          <w:p w14:paraId="1173ADF8" w14:textId="77777777" w:rsidR="00EC47CC" w:rsidRDefault="00000000">
            <w:pPr>
              <w:keepNext/>
              <w:keepLines/>
              <w:spacing w:after="0" w:line="240" w:lineRule="auto"/>
              <w:jc w:val="right"/>
            </w:pPr>
            <w:r>
              <w:rPr>
                <w:sz w:val="18"/>
              </w:rPr>
              <w:t>1.501,92</w:t>
            </w:r>
          </w:p>
        </w:tc>
        <w:tc>
          <w:tcPr>
            <w:tcW w:w="1860" w:type="dxa"/>
            <w:tcMar>
              <w:top w:w="0" w:type="dxa"/>
              <w:bottom w:w="0" w:type="dxa"/>
            </w:tcMar>
            <w:vAlign w:val="center"/>
          </w:tcPr>
          <w:p w14:paraId="1DE5CA6E" w14:textId="77777777" w:rsidR="00EC47CC" w:rsidRDefault="00000000">
            <w:pPr>
              <w:keepNext/>
              <w:keepLines/>
              <w:spacing w:after="0" w:line="240" w:lineRule="auto"/>
              <w:jc w:val="right"/>
            </w:pPr>
            <w:r>
              <w:rPr>
                <w:sz w:val="18"/>
              </w:rPr>
              <w:t>2.803,53</w:t>
            </w:r>
          </w:p>
        </w:tc>
        <w:tc>
          <w:tcPr>
            <w:tcW w:w="700" w:type="dxa"/>
            <w:tcMar>
              <w:top w:w="0" w:type="dxa"/>
              <w:bottom w:w="0" w:type="dxa"/>
            </w:tcMar>
            <w:vAlign w:val="center"/>
          </w:tcPr>
          <w:p w14:paraId="13938E71" w14:textId="77777777" w:rsidR="00EC47CC" w:rsidRDefault="00000000">
            <w:pPr>
              <w:keepNext/>
              <w:keepLines/>
              <w:spacing w:after="0" w:line="240" w:lineRule="auto"/>
              <w:jc w:val="right"/>
            </w:pPr>
            <w:r>
              <w:rPr>
                <w:sz w:val="18"/>
              </w:rPr>
              <w:t>186,7</w:t>
            </w:r>
          </w:p>
        </w:tc>
      </w:tr>
    </w:tbl>
    <w:p w14:paraId="1EA0E230" w14:textId="77777777" w:rsidR="00EC47CC" w:rsidRDefault="00EC47CC">
      <w:pPr>
        <w:spacing w:after="0"/>
      </w:pPr>
    </w:p>
    <w:p w14:paraId="1D120AAE" w14:textId="77777777" w:rsidR="00EC47CC" w:rsidRDefault="00000000">
      <w:r>
        <w:t>Podaci u bilanci iskazani su nakon obvezne korekcije rezultata sukladno čl. 82. Pravilnika o proračunskom računovodstvu te je iskazan višak poslovanja u iznosu od 3.696,65 eura i manjak prihoda od nefinancijske imovine u iznosu od 893,12 eura.</w:t>
      </w:r>
    </w:p>
    <w:p w14:paraId="58307460" w14:textId="77777777" w:rsidR="00EC47CC" w:rsidRDefault="00000000">
      <w:r>
        <w:t xml:space="preserve">Tijekom 2025. godine evidentirani su na računima kapitalnih prijenosa sredstava:  6362 Kapitalne pomoći proračunskim korisnicima iz proračuna koji im nije nadležan u iznosu </w:t>
      </w:r>
      <w:r>
        <w:lastRenderedPageBreak/>
        <w:t>13.600,00 eura i 67121 Prihodi iz nadležnog proračuna za financiranje rashoda za nabavu nefinancijske imovine u iznosu od 5.284,29 eura.</w:t>
      </w:r>
    </w:p>
    <w:p w14:paraId="55ED656F" w14:textId="77777777" w:rsidR="00EC47CC" w:rsidRDefault="00EC47CC"/>
    <w:p w14:paraId="0F593602" w14:textId="77777777" w:rsidR="00EC47CC" w:rsidRDefault="00000000">
      <w:pPr>
        <w:keepNext/>
        <w:spacing w:line="240" w:lineRule="auto"/>
        <w:jc w:val="center"/>
      </w:pPr>
      <w:r>
        <w:rPr>
          <w:b/>
          <w:sz w:val="28"/>
        </w:rPr>
        <w:t>Izvještaj o obvezama</w:t>
      </w:r>
    </w:p>
    <w:p w14:paraId="6C79A6AB" w14:textId="77777777" w:rsidR="00EC47CC"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C47CC" w14:paraId="100B642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FBD3F4" w14:textId="77777777" w:rsidR="00EC47C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FEE56D" w14:textId="77777777" w:rsidR="00EC47C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B43966" w14:textId="77777777" w:rsidR="00EC47C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0ADDBD" w14:textId="77777777" w:rsidR="00EC47CC"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DE973C6" w14:textId="77777777" w:rsidR="00EC47CC" w:rsidRDefault="00000000">
            <w:pPr>
              <w:keepNext/>
              <w:keepLines/>
              <w:spacing w:after="0" w:line="240" w:lineRule="auto"/>
              <w:jc w:val="center"/>
            </w:pPr>
            <w:r>
              <w:rPr>
                <w:b/>
                <w:sz w:val="18"/>
              </w:rPr>
              <w:t>Indeks (%)</w:t>
            </w:r>
          </w:p>
        </w:tc>
      </w:tr>
      <w:tr w:rsidR="00EC47CC" w14:paraId="4AF0DEAD" w14:textId="77777777">
        <w:tblPrEx>
          <w:tblCellMar>
            <w:top w:w="0" w:type="dxa"/>
            <w:bottom w:w="0" w:type="dxa"/>
          </w:tblCellMar>
        </w:tblPrEx>
        <w:trPr>
          <w:cantSplit/>
          <w:trHeight w:val="560"/>
        </w:trPr>
        <w:tc>
          <w:tcPr>
            <w:tcW w:w="700" w:type="dxa"/>
            <w:tcMar>
              <w:top w:w="0" w:type="dxa"/>
              <w:bottom w:w="0" w:type="dxa"/>
            </w:tcMar>
            <w:vAlign w:val="center"/>
          </w:tcPr>
          <w:p w14:paraId="200DCAE4" w14:textId="77777777" w:rsidR="00EC47CC" w:rsidRDefault="00EC47CC">
            <w:pPr>
              <w:keepNext/>
              <w:keepLines/>
              <w:spacing w:after="0" w:line="240" w:lineRule="auto"/>
            </w:pPr>
          </w:p>
        </w:tc>
        <w:tc>
          <w:tcPr>
            <w:tcW w:w="3180" w:type="dxa"/>
            <w:tcMar>
              <w:top w:w="0" w:type="dxa"/>
              <w:bottom w:w="0" w:type="dxa"/>
            </w:tcMar>
            <w:vAlign w:val="center"/>
          </w:tcPr>
          <w:p w14:paraId="4C2D5270" w14:textId="77777777" w:rsidR="00EC47CC"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1C062B7" w14:textId="77777777" w:rsidR="00EC47CC" w:rsidRDefault="00000000">
            <w:pPr>
              <w:keepNext/>
              <w:keepLines/>
              <w:spacing w:after="0" w:line="240" w:lineRule="auto"/>
            </w:pPr>
            <w:r>
              <w:rPr>
                <w:sz w:val="18"/>
              </w:rPr>
              <w:t>V007</w:t>
            </w:r>
          </w:p>
        </w:tc>
        <w:tc>
          <w:tcPr>
            <w:tcW w:w="1860" w:type="dxa"/>
            <w:tcMar>
              <w:top w:w="0" w:type="dxa"/>
              <w:bottom w:w="0" w:type="dxa"/>
            </w:tcMar>
            <w:vAlign w:val="center"/>
          </w:tcPr>
          <w:p w14:paraId="4C97B9A8" w14:textId="77777777" w:rsidR="00EC47CC" w:rsidRDefault="00000000">
            <w:pPr>
              <w:keepNext/>
              <w:keepLines/>
              <w:spacing w:after="0" w:line="240" w:lineRule="auto"/>
              <w:jc w:val="right"/>
            </w:pPr>
            <w:r>
              <w:rPr>
                <w:sz w:val="18"/>
              </w:rPr>
              <w:t>0,00</w:t>
            </w:r>
          </w:p>
        </w:tc>
        <w:tc>
          <w:tcPr>
            <w:tcW w:w="700" w:type="dxa"/>
            <w:tcMar>
              <w:top w:w="0" w:type="dxa"/>
              <w:bottom w:w="0" w:type="dxa"/>
            </w:tcMar>
            <w:vAlign w:val="center"/>
          </w:tcPr>
          <w:p w14:paraId="73BA3E31" w14:textId="77777777" w:rsidR="00EC47CC" w:rsidRDefault="00000000">
            <w:pPr>
              <w:keepNext/>
              <w:keepLines/>
              <w:spacing w:after="0" w:line="240" w:lineRule="auto"/>
              <w:jc w:val="right"/>
            </w:pPr>
            <w:r>
              <w:rPr>
                <w:sz w:val="18"/>
              </w:rPr>
              <w:t>-</w:t>
            </w:r>
          </w:p>
        </w:tc>
      </w:tr>
    </w:tbl>
    <w:p w14:paraId="159B7CE0" w14:textId="77777777" w:rsidR="00EC47CC" w:rsidRDefault="00EC47CC">
      <w:pPr>
        <w:spacing w:after="0"/>
      </w:pPr>
    </w:p>
    <w:p w14:paraId="091251AE" w14:textId="77777777" w:rsidR="00EC47CC" w:rsidRDefault="00000000">
      <w:r>
        <w:t>Ukupno obveze na dan 31.12.2025. godine iznose 6.062,02 eura i iste su nedospjele. Obveze za zaposlene iznose 4.966,39 eura što se odnosi na plaću za prosinac 2025. godine, obveze za naknade troškova zaposlenima iznose 522,28 eura dok obveze prema dobavljačima iznose 573,35 eura.</w:t>
      </w:r>
    </w:p>
    <w:p w14:paraId="1ED42B72" w14:textId="77777777" w:rsidR="00EC47CC" w:rsidRDefault="00EC47CC"/>
    <w:p w14:paraId="4C9386D6" w14:textId="77777777" w:rsidR="00EC47CC" w:rsidRDefault="00000000">
      <w:pPr>
        <w:keepNext/>
        <w:spacing w:line="240" w:lineRule="auto"/>
        <w:jc w:val="center"/>
      </w:pPr>
      <w:r>
        <w:rPr>
          <w:sz w:val="28"/>
        </w:rPr>
        <w:t>Bilješka 5.</w:t>
      </w:r>
    </w:p>
    <w:p w14:paraId="52A89216" w14:textId="77777777" w:rsidR="00EC47CC" w:rsidRDefault="00000000">
      <w:pPr>
        <w:spacing w:line="240" w:lineRule="auto"/>
        <w:jc w:val="both"/>
      </w:pPr>
      <w:r>
        <w:rPr>
          <w:b/>
        </w:rPr>
        <w:t>EU izvještaj</w:t>
      </w:r>
    </w:p>
    <w:p w14:paraId="27F947BC" w14:textId="723DF0BC" w:rsidR="00EC47CC" w:rsidRDefault="00000000">
      <w:r>
        <w:t>Iz EU sredstava financirani su troškovi naknade službenog put</w:t>
      </w:r>
      <w:r w:rsidR="000E0807">
        <w:t>o</w:t>
      </w:r>
      <w:r>
        <w:t>vanja i stručno usavršavanje zaposlenika u sklopu Erasmus akreditacije (Tečaj u Španjolskoj) u iznosu od 2.150,00 eura. Ostvareni prihodi iz istog izvora iznosili su 2.510,00 eura te je evidentiran višak prihoda poslovanja u iznosu od 360,00 eura.</w:t>
      </w:r>
    </w:p>
    <w:p w14:paraId="2141C6CC" w14:textId="77777777" w:rsidR="00EC47CC" w:rsidRDefault="00EC47CC"/>
    <w:sectPr w:rsidR="00EC47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7CC"/>
    <w:rsid w:val="000E0807"/>
    <w:rsid w:val="00463FCA"/>
    <w:rsid w:val="006322C3"/>
    <w:rsid w:val="00EC47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E839"/>
  <w15:docId w15:val="{7A156B73-1CE6-4473-BB74-56342CBB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737</Words>
  <Characters>4201</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Nadica Majsec Kobas</cp:lastModifiedBy>
  <cp:revision>2</cp:revision>
  <cp:lastPrinted>2026-02-02T13:12:00Z</cp:lastPrinted>
  <dcterms:created xsi:type="dcterms:W3CDTF">2026-02-02T13:21:00Z</dcterms:created>
  <dcterms:modified xsi:type="dcterms:W3CDTF">2026-02-02T13:21:00Z</dcterms:modified>
</cp:coreProperties>
</file>